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E89D7" w14:textId="77777777" w:rsidR="00C17210" w:rsidRPr="004343A4" w:rsidRDefault="00C17210" w:rsidP="00C17210">
      <w:pPr>
        <w:pStyle w:val="Heading3"/>
        <w:spacing w:before="0" w:line="240" w:lineRule="auto"/>
        <w:rPr>
          <w:rFonts w:asciiTheme="minorHAnsi" w:hAnsiTheme="minorHAnsi" w:cstheme="minorBidi"/>
          <w:b/>
          <w:bCs/>
          <w:color w:val="0000FF"/>
          <w:sz w:val="28"/>
          <w:szCs w:val="40"/>
        </w:rPr>
      </w:pPr>
      <w:r>
        <w:rPr>
          <w:rFonts w:asciiTheme="minorHAnsi" w:hAnsiTheme="minorHAnsi" w:cstheme="minorHAnsi"/>
          <w:b/>
          <w:bCs/>
          <w:color w:val="0000FF"/>
          <w:sz w:val="28"/>
          <w:szCs w:val="40"/>
        </w:rPr>
        <w:t>Reviewer Guidelines</w:t>
      </w:r>
    </w:p>
    <w:p w14:paraId="438AC5F0" w14:textId="157C77E1" w:rsidR="00C17210" w:rsidRPr="00CD3773" w:rsidRDefault="00C17210" w:rsidP="00C17210">
      <w:pPr>
        <w:spacing w:after="0" w:line="240" w:lineRule="auto"/>
        <w:jc w:val="both"/>
        <w:rPr>
          <w:rFonts w:asciiTheme="majorHAnsi" w:hAnsiTheme="majorHAnsi" w:cstheme="majorHAnsi"/>
          <w:sz w:val="24"/>
          <w:szCs w:val="24"/>
        </w:rPr>
      </w:pPr>
      <w:r w:rsidRPr="001E7B3B">
        <w:rPr>
          <w:rFonts w:asciiTheme="majorHAnsi" w:hAnsiTheme="majorHAnsi" w:cstheme="majorHAnsi"/>
          <w:sz w:val="24"/>
          <w:szCs w:val="24"/>
        </w:rPr>
        <w:t>Journal of Educational</w:t>
      </w:r>
      <w:r w:rsidR="000C2330">
        <w:rPr>
          <w:rFonts w:asciiTheme="majorHAnsi" w:hAnsiTheme="majorHAnsi" w:cstheme="majorHAnsi"/>
          <w:sz w:val="24"/>
          <w:szCs w:val="24"/>
        </w:rPr>
        <w:t xml:space="preserve">, </w:t>
      </w:r>
      <w:r>
        <w:rPr>
          <w:rFonts w:asciiTheme="majorHAnsi" w:hAnsiTheme="majorHAnsi" w:cstheme="majorHAnsi"/>
          <w:sz w:val="24"/>
          <w:szCs w:val="24"/>
        </w:rPr>
        <w:t>Innovati</w:t>
      </w:r>
      <w:r w:rsidR="000C2330">
        <w:rPr>
          <w:rFonts w:asciiTheme="majorHAnsi" w:hAnsiTheme="majorHAnsi" w:cstheme="majorHAnsi"/>
          <w:sz w:val="24"/>
          <w:szCs w:val="24"/>
        </w:rPr>
        <w:t>ve,</w:t>
      </w:r>
      <w:r>
        <w:rPr>
          <w:rFonts w:asciiTheme="majorHAnsi" w:hAnsiTheme="majorHAnsi" w:cstheme="majorHAnsi"/>
          <w:sz w:val="24"/>
          <w:szCs w:val="24"/>
        </w:rPr>
        <w:t xml:space="preserve"> </w:t>
      </w:r>
      <w:r w:rsidR="000C2330">
        <w:rPr>
          <w:rFonts w:asciiTheme="majorHAnsi" w:hAnsiTheme="majorHAnsi" w:cstheme="majorHAnsi"/>
          <w:sz w:val="24"/>
          <w:szCs w:val="24"/>
        </w:rPr>
        <w:t xml:space="preserve">Linguistic, Technical, </w:t>
      </w:r>
      <w:r>
        <w:rPr>
          <w:rFonts w:asciiTheme="majorHAnsi" w:hAnsiTheme="majorHAnsi" w:cstheme="majorHAnsi"/>
          <w:sz w:val="24"/>
          <w:szCs w:val="24"/>
        </w:rPr>
        <w:t xml:space="preserve">and </w:t>
      </w:r>
      <w:r w:rsidR="000C2330">
        <w:rPr>
          <w:rFonts w:asciiTheme="majorHAnsi" w:hAnsiTheme="majorHAnsi" w:cstheme="majorHAnsi"/>
          <w:sz w:val="24"/>
          <w:szCs w:val="24"/>
        </w:rPr>
        <w:t>Managemental Practice</w:t>
      </w:r>
      <w:r w:rsidRPr="001E7B3B">
        <w:rPr>
          <w:rFonts w:asciiTheme="majorHAnsi" w:hAnsiTheme="majorHAnsi" w:cstheme="majorHAnsi"/>
          <w:sz w:val="24"/>
          <w:szCs w:val="24"/>
        </w:rPr>
        <w:t xml:space="preserve"> (</w:t>
      </w:r>
      <w:r>
        <w:rPr>
          <w:rFonts w:asciiTheme="majorHAnsi" w:hAnsiTheme="majorHAnsi" w:cstheme="majorHAnsi"/>
          <w:sz w:val="24"/>
          <w:szCs w:val="24"/>
        </w:rPr>
        <w:t>JEILT</w:t>
      </w:r>
      <w:r w:rsidR="00535950">
        <w:rPr>
          <w:rFonts w:asciiTheme="majorHAnsi" w:hAnsiTheme="majorHAnsi" w:cstheme="majorHAnsi"/>
          <w:sz w:val="24"/>
          <w:szCs w:val="24"/>
        </w:rPr>
        <w:t>MP</w:t>
      </w:r>
      <w:r w:rsidRPr="001E7B3B">
        <w:rPr>
          <w:rFonts w:asciiTheme="majorHAnsi" w:hAnsiTheme="majorHAnsi" w:cstheme="majorHAnsi"/>
          <w:sz w:val="24"/>
          <w:szCs w:val="24"/>
        </w:rPr>
        <w:t>)</w:t>
      </w:r>
      <w:r>
        <w:rPr>
          <w:rFonts w:asciiTheme="majorHAnsi" w:hAnsiTheme="majorHAnsi" w:cstheme="majorHAnsi"/>
        </w:rPr>
        <w:t xml:space="preserve"> </w:t>
      </w:r>
      <w:r w:rsidRPr="00CD3773">
        <w:rPr>
          <w:rFonts w:asciiTheme="majorHAnsi" w:hAnsiTheme="majorHAnsi" w:cstheme="majorHAnsi"/>
          <w:sz w:val="24"/>
          <w:szCs w:val="24"/>
        </w:rPr>
        <w:t>is a double-blind and peer-reviewed journal, and the reviewers are required to fully understand the following.</w:t>
      </w:r>
      <w:r>
        <w:rPr>
          <w:rFonts w:asciiTheme="majorHAnsi" w:hAnsiTheme="majorHAnsi" w:cstheme="majorHAnsi"/>
          <w:sz w:val="24"/>
          <w:szCs w:val="24"/>
        </w:rPr>
        <w:t xml:space="preserve"> </w:t>
      </w:r>
    </w:p>
    <w:p w14:paraId="3DD850F1" w14:textId="77777777" w:rsidR="00C17210" w:rsidRPr="00C06B24" w:rsidRDefault="00C17210" w:rsidP="00C17210">
      <w:pPr>
        <w:shd w:val="clear" w:color="auto" w:fill="FFFFFF"/>
        <w:spacing w:after="0" w:line="240" w:lineRule="auto"/>
        <w:ind w:left="284"/>
        <w:jc w:val="both"/>
        <w:rPr>
          <w:rFonts w:asciiTheme="minorHAnsi" w:hAnsiTheme="minorHAnsi" w:cstheme="minorHAnsi"/>
          <w:b/>
          <w:bCs/>
          <w:i/>
          <w:iCs/>
          <w:sz w:val="24"/>
          <w:szCs w:val="24"/>
        </w:rPr>
      </w:pPr>
      <w:r w:rsidRPr="00C06B24">
        <w:rPr>
          <w:rFonts w:asciiTheme="minorHAnsi" w:hAnsiTheme="minorHAnsi" w:cstheme="minorHAnsi"/>
          <w:b/>
          <w:bCs/>
          <w:i/>
          <w:iCs/>
          <w:sz w:val="24"/>
          <w:szCs w:val="24"/>
        </w:rPr>
        <w:t>Contribution to Editorial Decisions</w:t>
      </w:r>
    </w:p>
    <w:p w14:paraId="2EA615B4" w14:textId="6E8A2E0F" w:rsidR="00C17210" w:rsidRDefault="00C17210" w:rsidP="00C17210">
      <w:pPr>
        <w:pStyle w:val="NormalWeb"/>
        <w:numPr>
          <w:ilvl w:val="0"/>
          <w:numId w:val="1"/>
        </w:numPr>
        <w:shd w:val="clear" w:color="auto" w:fill="FFFFFF"/>
        <w:spacing w:before="0" w:beforeAutospacing="0" w:after="0" w:afterAutospacing="0"/>
        <w:ind w:left="851" w:hanging="284"/>
        <w:jc w:val="both"/>
        <w:rPr>
          <w:rFonts w:asciiTheme="majorHAnsi" w:hAnsiTheme="majorHAnsi" w:cstheme="majorHAnsi"/>
        </w:rPr>
      </w:pPr>
      <w:r w:rsidRPr="00614BB3">
        <w:rPr>
          <w:rFonts w:asciiTheme="majorHAnsi" w:hAnsiTheme="majorHAnsi" w:cstheme="majorHAnsi"/>
        </w:rPr>
        <w:t xml:space="preserve">Peer review assists editors in making editorial decisions and, through editorial communications with </w:t>
      </w:r>
      <w:r>
        <w:rPr>
          <w:rFonts w:asciiTheme="majorHAnsi" w:hAnsiTheme="majorHAnsi" w:cstheme="majorHAnsi"/>
        </w:rPr>
        <w:t xml:space="preserve">the </w:t>
      </w:r>
      <w:r w:rsidRPr="00614BB3">
        <w:rPr>
          <w:rFonts w:asciiTheme="majorHAnsi" w:hAnsiTheme="majorHAnsi" w:cstheme="majorHAnsi"/>
        </w:rPr>
        <w:t xml:space="preserve">authors, may assist authors in improving their manuscripts. Peer review is an essential component of formal scholarly communication and lies at the heart of scientific endeavor. </w:t>
      </w:r>
      <w:r>
        <w:rPr>
          <w:rFonts w:asciiTheme="majorHAnsi" w:hAnsiTheme="majorHAnsi" w:cstheme="majorHAnsi"/>
        </w:rPr>
        <w:t>JEILT</w:t>
      </w:r>
      <w:r w:rsidR="000C2330">
        <w:rPr>
          <w:rFonts w:asciiTheme="majorHAnsi" w:hAnsiTheme="majorHAnsi" w:cstheme="majorHAnsi"/>
        </w:rPr>
        <w:t>MP</w:t>
      </w:r>
      <w:r w:rsidRPr="00614BB3">
        <w:rPr>
          <w:rFonts w:asciiTheme="majorHAnsi" w:hAnsiTheme="majorHAnsi" w:cstheme="majorHAnsi"/>
        </w:rPr>
        <w:t xml:space="preserve"> shares many views that all scholars</w:t>
      </w:r>
      <w:r>
        <w:rPr>
          <w:rFonts w:asciiTheme="majorHAnsi" w:hAnsiTheme="majorHAnsi" w:cstheme="majorHAnsi"/>
        </w:rPr>
        <w:t>,</w:t>
      </w:r>
      <w:r w:rsidRPr="00614BB3">
        <w:rPr>
          <w:rFonts w:asciiTheme="majorHAnsi" w:hAnsiTheme="majorHAnsi" w:cstheme="majorHAnsi"/>
        </w:rPr>
        <w:t xml:space="preserve"> who wish to contribute to the scientific process must do their fair share of reviewing.</w:t>
      </w:r>
    </w:p>
    <w:p w14:paraId="349B604D" w14:textId="77777777" w:rsidR="00C17210" w:rsidRPr="00C06B24" w:rsidRDefault="00C17210" w:rsidP="00C17210">
      <w:pPr>
        <w:shd w:val="clear" w:color="auto" w:fill="FFFFFF"/>
        <w:spacing w:after="0" w:line="240" w:lineRule="auto"/>
        <w:ind w:left="284"/>
        <w:jc w:val="both"/>
        <w:rPr>
          <w:rFonts w:asciiTheme="minorHAnsi" w:hAnsiTheme="minorHAnsi" w:cstheme="minorHAnsi"/>
          <w:b/>
          <w:bCs/>
          <w:i/>
          <w:iCs/>
          <w:sz w:val="24"/>
          <w:szCs w:val="24"/>
        </w:rPr>
      </w:pPr>
      <w:r w:rsidRPr="00C06B24">
        <w:rPr>
          <w:rFonts w:asciiTheme="minorHAnsi" w:hAnsiTheme="minorHAnsi" w:cstheme="minorHAnsi"/>
          <w:b/>
          <w:bCs/>
          <w:i/>
          <w:iCs/>
          <w:sz w:val="24"/>
          <w:szCs w:val="24"/>
        </w:rPr>
        <w:t>Promptness</w:t>
      </w:r>
    </w:p>
    <w:p w14:paraId="47CA2F82" w14:textId="77777777" w:rsidR="00C17210" w:rsidRPr="00614BB3" w:rsidRDefault="00C17210" w:rsidP="00C17210">
      <w:pPr>
        <w:pStyle w:val="NormalWeb"/>
        <w:numPr>
          <w:ilvl w:val="0"/>
          <w:numId w:val="1"/>
        </w:numPr>
        <w:shd w:val="clear" w:color="auto" w:fill="FFFFFF"/>
        <w:spacing w:before="0" w:beforeAutospacing="0" w:after="0" w:afterAutospacing="0"/>
        <w:ind w:left="851" w:hanging="283"/>
        <w:jc w:val="both"/>
        <w:rPr>
          <w:rFonts w:asciiTheme="majorHAnsi" w:hAnsiTheme="majorHAnsi" w:cstheme="majorHAnsi"/>
        </w:rPr>
      </w:pPr>
      <w:r w:rsidRPr="00614BB3">
        <w:rPr>
          <w:rFonts w:asciiTheme="majorHAnsi" w:hAnsiTheme="majorHAnsi" w:cstheme="majorHAnsi"/>
        </w:rPr>
        <w:t>Invited reviewers</w:t>
      </w:r>
      <w:r>
        <w:rPr>
          <w:rFonts w:asciiTheme="majorHAnsi" w:hAnsiTheme="majorHAnsi" w:cstheme="majorHAnsi"/>
        </w:rPr>
        <w:t>,</w:t>
      </w:r>
      <w:r w:rsidRPr="00614BB3">
        <w:rPr>
          <w:rFonts w:asciiTheme="majorHAnsi" w:hAnsiTheme="majorHAnsi" w:cstheme="majorHAnsi"/>
        </w:rPr>
        <w:t xml:space="preserve"> who feel unqualified to review the research reported in a manuscript or knows that its prompt review will be impossible should immediately notify the editors and decline the invitation to review so that alternative reviewers can be contacted.</w:t>
      </w:r>
    </w:p>
    <w:p w14:paraId="328D5748" w14:textId="77777777" w:rsidR="00C17210" w:rsidRPr="00C06B24" w:rsidRDefault="00C17210" w:rsidP="00C17210">
      <w:pPr>
        <w:shd w:val="clear" w:color="auto" w:fill="FFFFFF"/>
        <w:spacing w:after="0" w:line="240" w:lineRule="auto"/>
        <w:ind w:left="284"/>
        <w:jc w:val="both"/>
        <w:rPr>
          <w:rFonts w:asciiTheme="minorHAnsi" w:hAnsiTheme="minorHAnsi" w:cstheme="minorHAnsi"/>
          <w:b/>
          <w:bCs/>
          <w:i/>
          <w:iCs/>
          <w:sz w:val="24"/>
          <w:szCs w:val="24"/>
        </w:rPr>
      </w:pPr>
      <w:r w:rsidRPr="00C06B24">
        <w:rPr>
          <w:rFonts w:asciiTheme="minorHAnsi" w:hAnsiTheme="minorHAnsi" w:cstheme="minorHAnsi"/>
          <w:b/>
          <w:bCs/>
          <w:i/>
          <w:iCs/>
          <w:sz w:val="24"/>
          <w:szCs w:val="24"/>
        </w:rPr>
        <w:t>Confidentiality</w:t>
      </w:r>
    </w:p>
    <w:p w14:paraId="735A42D0" w14:textId="77777777" w:rsidR="00C17210" w:rsidRPr="00614BB3" w:rsidRDefault="00C17210" w:rsidP="00C17210">
      <w:pPr>
        <w:pStyle w:val="NormalWeb"/>
        <w:numPr>
          <w:ilvl w:val="0"/>
          <w:numId w:val="1"/>
        </w:numPr>
        <w:shd w:val="clear" w:color="auto" w:fill="FFFFFF"/>
        <w:spacing w:before="0" w:beforeAutospacing="0" w:after="0" w:afterAutospacing="0"/>
        <w:ind w:left="851" w:hanging="283"/>
        <w:jc w:val="both"/>
        <w:rPr>
          <w:rFonts w:asciiTheme="majorHAnsi" w:hAnsiTheme="majorHAnsi" w:cstheme="majorHAnsi"/>
        </w:rPr>
      </w:pPr>
      <w:r w:rsidRPr="00614BB3">
        <w:rPr>
          <w:rFonts w:asciiTheme="majorHAnsi" w:hAnsiTheme="majorHAnsi" w:cstheme="majorHAnsi"/>
        </w:rPr>
        <w:t>The Editor-in-Chief must authorize the display or discussion of any manuscripts received for review as confidential documents. This is also true for invited reviewers who decline the review invitation.</w:t>
      </w:r>
    </w:p>
    <w:p w14:paraId="68C227B6" w14:textId="77777777" w:rsidR="00C17210" w:rsidRPr="00C06B24" w:rsidRDefault="00C17210" w:rsidP="00C17210">
      <w:pPr>
        <w:shd w:val="clear" w:color="auto" w:fill="FFFFFF"/>
        <w:spacing w:after="0" w:line="240" w:lineRule="auto"/>
        <w:ind w:left="284"/>
        <w:jc w:val="both"/>
        <w:rPr>
          <w:rFonts w:asciiTheme="minorHAnsi" w:hAnsiTheme="minorHAnsi" w:cstheme="minorHAnsi"/>
          <w:b/>
          <w:bCs/>
          <w:i/>
          <w:iCs/>
          <w:sz w:val="24"/>
          <w:szCs w:val="24"/>
        </w:rPr>
      </w:pPr>
      <w:r w:rsidRPr="00C06B24">
        <w:rPr>
          <w:rFonts w:asciiTheme="minorHAnsi" w:hAnsiTheme="minorHAnsi" w:cstheme="minorHAnsi"/>
          <w:b/>
          <w:bCs/>
          <w:i/>
          <w:iCs/>
          <w:sz w:val="24"/>
          <w:szCs w:val="24"/>
        </w:rPr>
        <w:t>Standards of Objectivity</w:t>
      </w:r>
    </w:p>
    <w:p w14:paraId="7B7A5E96" w14:textId="77777777" w:rsidR="00C17210" w:rsidRDefault="00C17210" w:rsidP="00C17210">
      <w:pPr>
        <w:pStyle w:val="NormalWeb"/>
        <w:numPr>
          <w:ilvl w:val="0"/>
          <w:numId w:val="1"/>
        </w:numPr>
        <w:shd w:val="clear" w:color="auto" w:fill="FFFFFF"/>
        <w:spacing w:before="0" w:beforeAutospacing="0" w:after="0" w:afterAutospacing="0"/>
        <w:ind w:left="851" w:hanging="283"/>
        <w:jc w:val="both"/>
        <w:rPr>
          <w:rFonts w:asciiTheme="majorHAnsi" w:hAnsiTheme="majorHAnsi" w:cstheme="majorHAnsi"/>
        </w:rPr>
      </w:pPr>
      <w:r w:rsidRPr="00614BB3">
        <w:rPr>
          <w:rFonts w:asciiTheme="majorHAnsi" w:hAnsiTheme="majorHAnsi" w:cstheme="majorHAnsi"/>
        </w:rPr>
        <w:t>To improve manuscript, authors should conduct objective reviews and formulate observations clearly with supporting arguments. Personal criticism of the authors is inappropriate, and the reviewers may reject this.</w:t>
      </w:r>
    </w:p>
    <w:p w14:paraId="6E292F82" w14:textId="77777777" w:rsidR="00C17210" w:rsidRPr="00C06B24" w:rsidRDefault="00C17210" w:rsidP="00C17210">
      <w:pPr>
        <w:shd w:val="clear" w:color="auto" w:fill="FFFFFF"/>
        <w:spacing w:after="0" w:line="240" w:lineRule="auto"/>
        <w:ind w:left="284"/>
        <w:jc w:val="both"/>
        <w:rPr>
          <w:rFonts w:asciiTheme="minorHAnsi" w:hAnsiTheme="minorHAnsi" w:cstheme="minorHAnsi"/>
          <w:b/>
          <w:bCs/>
          <w:i/>
          <w:iCs/>
          <w:sz w:val="24"/>
          <w:szCs w:val="24"/>
        </w:rPr>
      </w:pPr>
      <w:r w:rsidRPr="00C06B24">
        <w:rPr>
          <w:rFonts w:asciiTheme="minorHAnsi" w:hAnsiTheme="minorHAnsi" w:cstheme="minorHAnsi"/>
          <w:b/>
          <w:bCs/>
          <w:i/>
          <w:iCs/>
          <w:sz w:val="24"/>
          <w:szCs w:val="24"/>
        </w:rPr>
        <w:t>Acknowledgment of Sources</w:t>
      </w:r>
    </w:p>
    <w:p w14:paraId="3D107E65" w14:textId="77777777" w:rsidR="00C17210" w:rsidRPr="00614BB3" w:rsidRDefault="00C17210" w:rsidP="00C17210">
      <w:pPr>
        <w:pStyle w:val="NormalWeb"/>
        <w:numPr>
          <w:ilvl w:val="0"/>
          <w:numId w:val="1"/>
        </w:numPr>
        <w:shd w:val="clear" w:color="auto" w:fill="FFFFFF"/>
        <w:spacing w:before="0" w:beforeAutospacing="0" w:after="0" w:afterAutospacing="0"/>
        <w:ind w:left="851" w:hanging="283"/>
        <w:jc w:val="both"/>
        <w:rPr>
          <w:rFonts w:asciiTheme="majorHAnsi" w:hAnsiTheme="majorHAnsi" w:cstheme="majorHAnsi"/>
        </w:rPr>
      </w:pPr>
      <w:r w:rsidRPr="00614BB3">
        <w:rPr>
          <w:rFonts w:asciiTheme="majorHAnsi" w:hAnsiTheme="majorHAnsi" w:cstheme="majorHAnsi"/>
        </w:rPr>
        <w:t xml:space="preserve">Reviewers should locate pertinent published work that the authors have not yet cited. The relevant citation should accompany any statement, observation, derivation, </w:t>
      </w:r>
      <w:r>
        <w:rPr>
          <w:rFonts w:asciiTheme="majorHAnsi" w:hAnsiTheme="majorHAnsi" w:cstheme="majorHAnsi"/>
        </w:rPr>
        <w:t>and/</w:t>
      </w:r>
      <w:r w:rsidRPr="00614BB3">
        <w:rPr>
          <w:rFonts w:asciiTheme="majorHAnsi" w:hAnsiTheme="majorHAnsi" w:cstheme="majorHAnsi"/>
        </w:rPr>
        <w:t>or argument reported in previous publications. Reviewers should also notify the editors of any substantial similarity or overlap between the manuscript under consideration and any other manuscript (published or unpublished) of which they have personal knowledge.</w:t>
      </w:r>
    </w:p>
    <w:p w14:paraId="3CCDBF62" w14:textId="77777777" w:rsidR="00C17210" w:rsidRPr="00C06B24" w:rsidRDefault="00C17210" w:rsidP="00C17210">
      <w:pPr>
        <w:shd w:val="clear" w:color="auto" w:fill="FFFFFF"/>
        <w:spacing w:after="0" w:line="240" w:lineRule="auto"/>
        <w:ind w:left="284"/>
        <w:jc w:val="both"/>
        <w:rPr>
          <w:rFonts w:asciiTheme="minorHAnsi" w:hAnsiTheme="minorHAnsi" w:cstheme="minorHAnsi"/>
          <w:b/>
          <w:bCs/>
          <w:i/>
          <w:iCs/>
          <w:sz w:val="24"/>
          <w:szCs w:val="24"/>
        </w:rPr>
      </w:pPr>
      <w:r w:rsidRPr="00C06B24">
        <w:rPr>
          <w:rFonts w:asciiTheme="minorHAnsi" w:hAnsiTheme="minorHAnsi" w:cstheme="minorHAnsi"/>
          <w:b/>
          <w:bCs/>
          <w:i/>
          <w:iCs/>
          <w:sz w:val="24"/>
          <w:szCs w:val="24"/>
        </w:rPr>
        <w:t>Disclosure and Conflicts of Interest</w:t>
      </w:r>
    </w:p>
    <w:p w14:paraId="3C33F283" w14:textId="77777777" w:rsidR="00C17210" w:rsidRPr="00614BB3" w:rsidRDefault="00C17210" w:rsidP="00C17210">
      <w:pPr>
        <w:pStyle w:val="NormalWeb"/>
        <w:numPr>
          <w:ilvl w:val="0"/>
          <w:numId w:val="1"/>
        </w:numPr>
        <w:shd w:val="clear" w:color="auto" w:fill="FFFFFF"/>
        <w:spacing w:before="0" w:beforeAutospacing="0" w:after="0" w:afterAutospacing="0"/>
        <w:ind w:left="851" w:hanging="283"/>
        <w:jc w:val="both"/>
        <w:rPr>
          <w:rFonts w:asciiTheme="majorHAnsi" w:hAnsiTheme="majorHAnsi" w:cstheme="majorHAnsi"/>
        </w:rPr>
      </w:pPr>
      <w:r w:rsidRPr="00614BB3">
        <w:rPr>
          <w:rFonts w:asciiTheme="majorHAnsi" w:hAnsiTheme="majorHAnsi" w:cstheme="majorHAnsi"/>
        </w:rPr>
        <w:t>To contact alternative reviewers, any invited reviewers</w:t>
      </w:r>
      <w:r>
        <w:rPr>
          <w:rFonts w:asciiTheme="majorHAnsi" w:hAnsiTheme="majorHAnsi" w:cstheme="majorHAnsi"/>
        </w:rPr>
        <w:t>,</w:t>
      </w:r>
      <w:r w:rsidRPr="00614BB3">
        <w:rPr>
          <w:rFonts w:asciiTheme="majorHAnsi" w:hAnsiTheme="majorHAnsi" w:cstheme="majorHAnsi"/>
        </w:rPr>
        <w:t xml:space="preserve"> who have conflicts of interest due to competitive, collaborative,</w:t>
      </w:r>
      <w:r>
        <w:rPr>
          <w:rFonts w:asciiTheme="majorHAnsi" w:hAnsiTheme="majorHAnsi" w:cstheme="majorHAnsi"/>
        </w:rPr>
        <w:t xml:space="preserve"> and/</w:t>
      </w:r>
      <w:r w:rsidRPr="00614BB3">
        <w:rPr>
          <w:rFonts w:asciiTheme="majorHAnsi" w:hAnsiTheme="majorHAnsi" w:cstheme="majorHAnsi"/>
        </w:rPr>
        <w:t>or other relationships or connections with any of the authors, companies, or institutions connected to the manuscript and the work described therein should immediately notify the editors, declare their conflicts of interest, and decline the invitation to review.</w:t>
      </w:r>
    </w:p>
    <w:p w14:paraId="2FEB5240" w14:textId="77777777" w:rsidR="00C17210" w:rsidRDefault="00C17210" w:rsidP="00C17210">
      <w:pPr>
        <w:pStyle w:val="NormalWeb"/>
        <w:numPr>
          <w:ilvl w:val="0"/>
          <w:numId w:val="1"/>
        </w:numPr>
        <w:shd w:val="clear" w:color="auto" w:fill="FFFFFF"/>
        <w:spacing w:before="0" w:beforeAutospacing="0" w:after="0" w:afterAutospacing="0"/>
        <w:ind w:left="851" w:hanging="283"/>
        <w:jc w:val="both"/>
        <w:rPr>
          <w:rFonts w:asciiTheme="majorHAnsi" w:hAnsiTheme="majorHAnsi" w:cstheme="majorHAnsi"/>
        </w:rPr>
      </w:pPr>
      <w:r w:rsidRPr="00614BB3">
        <w:rPr>
          <w:rFonts w:asciiTheme="majorHAnsi" w:hAnsiTheme="majorHAnsi" w:cstheme="majorHAnsi"/>
        </w:rPr>
        <w:t xml:space="preserve">Reviewers cannot use </w:t>
      </w:r>
      <w:r>
        <w:rPr>
          <w:rFonts w:asciiTheme="majorHAnsi" w:hAnsiTheme="majorHAnsi" w:cstheme="majorHAnsi"/>
        </w:rPr>
        <w:t xml:space="preserve">the </w:t>
      </w:r>
      <w:r w:rsidRPr="00614BB3">
        <w:rPr>
          <w:rFonts w:asciiTheme="majorHAnsi" w:hAnsiTheme="majorHAnsi" w:cstheme="majorHAnsi"/>
        </w:rPr>
        <w:t>unpublished material from a submitted manuscript in their research without the authors' express written consent. The reviewers must maintain the confidentiality of privileged information or ideas acquired through peer review and refrain from using them for personal gain. This is also true for invited reviewers who decline the review invitation</w:t>
      </w:r>
    </w:p>
    <w:p w14:paraId="7554D858" w14:textId="77777777" w:rsidR="00DA7984" w:rsidRDefault="00DA7984"/>
    <w:sectPr w:rsidR="00DA7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A00000EF" w:usb1="5000204A" w:usb2="00010000" w:usb3="00000000" w:csb0="0000011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7143D"/>
    <w:multiLevelType w:val="hybridMultilevel"/>
    <w:tmpl w:val="25A816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190829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10"/>
    <w:rsid w:val="00093DA6"/>
    <w:rsid w:val="000C2330"/>
    <w:rsid w:val="0011394D"/>
    <w:rsid w:val="001F459C"/>
    <w:rsid w:val="00535950"/>
    <w:rsid w:val="0064204A"/>
    <w:rsid w:val="00A24A86"/>
    <w:rsid w:val="00C17210"/>
    <w:rsid w:val="00CD09C5"/>
    <w:rsid w:val="00DA7984"/>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4521"/>
  <w15:chartTrackingRefBased/>
  <w15:docId w15:val="{36587CEA-5377-40F2-9A4C-C4B0C30E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210"/>
    <w:rPr>
      <w:rFonts w:ascii="Calibri" w:eastAsiaTheme="minorEastAsia" w:hAnsi="Calibri" w:cs="Calibri"/>
      <w:kern w:val="0"/>
      <w:szCs w:val="22"/>
      <w:lang w:eastAsia="ja-JP"/>
      <w14:ligatures w14:val="none"/>
    </w:rPr>
  </w:style>
  <w:style w:type="paragraph" w:styleId="Heading3">
    <w:name w:val="heading 3"/>
    <w:basedOn w:val="Normal"/>
    <w:next w:val="Normal"/>
    <w:link w:val="Heading3Char"/>
    <w:uiPriority w:val="9"/>
    <w:unhideWhenUsed/>
    <w:qFormat/>
    <w:rsid w:val="00C17210"/>
    <w:pPr>
      <w:keepNext/>
      <w:keepLines/>
      <w:spacing w:before="40" w:after="0"/>
      <w:outlineLvl w:val="2"/>
    </w:pPr>
    <w:rPr>
      <w:rFonts w:asciiTheme="majorHAnsi" w:eastAsiaTheme="majorEastAsia" w:hAnsiTheme="majorHAnsi" w:cstheme="majorBidi"/>
      <w:color w:val="1F3763" w:themeColor="accent1" w:themeShade="7F"/>
      <w:sz w:val="24"/>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17210"/>
    <w:rPr>
      <w:rFonts w:asciiTheme="majorHAnsi" w:eastAsiaTheme="majorEastAsia" w:hAnsiTheme="majorHAnsi" w:cstheme="majorBidi"/>
      <w:color w:val="1F3763" w:themeColor="accent1" w:themeShade="7F"/>
      <w:kern w:val="0"/>
      <w:sz w:val="24"/>
      <w:szCs w:val="39"/>
      <w:lang w:eastAsia="ja-JP"/>
      <w14:ligatures w14:val="none"/>
    </w:rPr>
  </w:style>
  <w:style w:type="paragraph" w:styleId="NormalWeb">
    <w:name w:val="Normal (Web)"/>
    <w:basedOn w:val="Normal"/>
    <w:uiPriority w:val="99"/>
    <w:unhideWhenUsed/>
    <w:rsid w:val="00C172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Chhorn Than</dc:creator>
  <cp:keywords/>
  <dc:description/>
  <cp:lastModifiedBy>Chhorn Than</cp:lastModifiedBy>
  <cp:revision>3</cp:revision>
  <dcterms:created xsi:type="dcterms:W3CDTF">2025-03-11T08:39:00Z</dcterms:created>
  <dcterms:modified xsi:type="dcterms:W3CDTF">2025-03-11T08:40:00Z</dcterms:modified>
</cp:coreProperties>
</file>